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F6C38" w14:textId="77777777" w:rsidR="00D53B15" w:rsidRDefault="00D53B15" w:rsidP="00D53B15">
      <w:pPr>
        <w:pStyle w:val="Heading1"/>
      </w:pPr>
      <w:bookmarkStart w:id="0" w:name="_Toc225731484"/>
      <w:r>
        <w:t>Annexure E: Proposed Table of Contents – Book Chapter</w:t>
      </w:r>
      <w:bookmarkEnd w:id="0"/>
    </w:p>
    <w:p w14:paraId="1B575685" w14:textId="77777777" w:rsidR="00D53B15" w:rsidRDefault="00D53B15" w:rsidP="00D53B15"/>
    <w:p w14:paraId="009EEC4F" w14:textId="77777777" w:rsidR="00D53B15" w:rsidRDefault="00D53B15" w:rsidP="00D53B15">
      <w:r>
        <w:t>Title: To be confirmed</w:t>
      </w:r>
    </w:p>
    <w:p w14:paraId="6BDC4AD1" w14:textId="77777777" w:rsidR="00D53B15" w:rsidRDefault="00D53B15" w:rsidP="00D53B15"/>
    <w:p w14:paraId="7D2F3600" w14:textId="77777777" w:rsidR="00D53B15" w:rsidRDefault="00D53B15" w:rsidP="00D53B15">
      <w:pPr>
        <w:pStyle w:val="ListParagraph"/>
        <w:numPr>
          <w:ilvl w:val="0"/>
          <w:numId w:val="2"/>
        </w:numPr>
      </w:pPr>
      <w:r>
        <w:t>Trends and an Emerging Culture of Data Sharing, Publication and Citation</w:t>
      </w:r>
    </w:p>
    <w:p w14:paraId="17378FF8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t>Research Infrastructures</w:t>
      </w:r>
    </w:p>
    <w:p w14:paraId="499ADB36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t>Permanent Identifiers and Linked Open Data</w:t>
      </w:r>
    </w:p>
    <w:p w14:paraId="54D87058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t>Free and Open Data: Licensing and Policy</w:t>
      </w:r>
    </w:p>
    <w:p w14:paraId="0E5AD5FC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t>Data Citation and Publication</w:t>
      </w:r>
    </w:p>
    <w:p w14:paraId="4DCFDB3E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t>Citizen Science, Crowdsourcing, and Proliferating Sensors</w:t>
      </w:r>
    </w:p>
    <w:p w14:paraId="3A1ACA4B" w14:textId="77777777" w:rsidR="006412C3" w:rsidRDefault="00D53B15" w:rsidP="006412C3">
      <w:pPr>
        <w:pStyle w:val="ListParagraph"/>
        <w:numPr>
          <w:ilvl w:val="1"/>
          <w:numId w:val="2"/>
        </w:numPr>
      </w:pPr>
      <w:r>
        <w:t>Roles and Responsibilities</w:t>
      </w:r>
    </w:p>
    <w:p w14:paraId="30CF60E2" w14:textId="597B0F1F" w:rsidR="00D53B15" w:rsidRDefault="00D53B15" w:rsidP="00D53B15">
      <w:pPr>
        <w:pStyle w:val="ListParagraph"/>
        <w:numPr>
          <w:ilvl w:val="0"/>
          <w:numId w:val="2"/>
        </w:numPr>
        <w:jc w:val="both"/>
      </w:pPr>
      <w:r>
        <w:t xml:space="preserve">The </w:t>
      </w:r>
      <w:r w:rsidR="003716E8">
        <w:t>Network of the Future</w:t>
      </w:r>
    </w:p>
    <w:p w14:paraId="1EC49C70" w14:textId="77777777" w:rsidR="006412C3" w:rsidRDefault="006412C3" w:rsidP="006412C3">
      <w:pPr>
        <w:pStyle w:val="ListParagraph"/>
        <w:numPr>
          <w:ilvl w:val="1"/>
          <w:numId w:val="2"/>
        </w:numPr>
      </w:pPr>
      <w:r>
        <w:t>A Vision for Future Data</w:t>
      </w:r>
    </w:p>
    <w:p w14:paraId="60FFFF10" w14:textId="1D826460" w:rsidR="003716E8" w:rsidRDefault="003716E8" w:rsidP="006412C3">
      <w:pPr>
        <w:pStyle w:val="ListParagraph"/>
        <w:numPr>
          <w:ilvl w:val="1"/>
          <w:numId w:val="2"/>
        </w:numPr>
      </w:pPr>
      <w:r>
        <w:t xml:space="preserve">The </w:t>
      </w:r>
      <w:r>
        <w:t>Role of Standards and Specifications</w:t>
      </w:r>
      <w:bookmarkStart w:id="1" w:name="_GoBack"/>
      <w:bookmarkEnd w:id="1"/>
    </w:p>
    <w:p w14:paraId="77B24276" w14:textId="77777777" w:rsidR="006412C3" w:rsidRDefault="006412C3" w:rsidP="006412C3">
      <w:pPr>
        <w:pStyle w:val="ListParagraph"/>
        <w:numPr>
          <w:ilvl w:val="1"/>
          <w:numId w:val="2"/>
        </w:numPr>
      </w:pPr>
      <w:r>
        <w:t>A Scalable, Interoperable Architecture</w:t>
      </w:r>
    </w:p>
    <w:p w14:paraId="0CAC978A" w14:textId="77777777" w:rsidR="00D53B15" w:rsidRDefault="00D53B15" w:rsidP="00D53B15">
      <w:pPr>
        <w:pStyle w:val="ListParagraph"/>
        <w:numPr>
          <w:ilvl w:val="0"/>
          <w:numId w:val="2"/>
        </w:numPr>
      </w:pPr>
      <w:r>
        <w:t>Scope of Biodiversity Observation</w:t>
      </w:r>
    </w:p>
    <w:p w14:paraId="543E478C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t>Essential Biodiversity Variables</w:t>
      </w:r>
    </w:p>
    <w:p w14:paraId="744BAB76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t>Important Entities, Relationships, and Properties</w:t>
      </w:r>
    </w:p>
    <w:p w14:paraId="15FDB366" w14:textId="77777777" w:rsidR="00D53B15" w:rsidRDefault="00D53B15" w:rsidP="00D53B15">
      <w:pPr>
        <w:pStyle w:val="ListParagraph"/>
        <w:numPr>
          <w:ilvl w:val="2"/>
          <w:numId w:val="2"/>
        </w:numPr>
      </w:pPr>
      <w:r>
        <w:t>Species and Genomes</w:t>
      </w:r>
    </w:p>
    <w:p w14:paraId="40D80853" w14:textId="77777777" w:rsidR="00D53B15" w:rsidRDefault="00D53B15" w:rsidP="00D53B15">
      <w:pPr>
        <w:pStyle w:val="ListParagraph"/>
        <w:numPr>
          <w:ilvl w:val="2"/>
          <w:numId w:val="2"/>
        </w:numPr>
      </w:pPr>
      <w:r>
        <w:t>Specimens, Samples and Occurrence</w:t>
      </w:r>
    </w:p>
    <w:p w14:paraId="3AC441CD" w14:textId="77777777" w:rsidR="00D53B15" w:rsidRDefault="00D53B15" w:rsidP="00D53B15">
      <w:pPr>
        <w:pStyle w:val="ListParagraph"/>
        <w:numPr>
          <w:ilvl w:val="2"/>
          <w:numId w:val="2"/>
        </w:numPr>
      </w:pPr>
      <w:r>
        <w:t>Traits</w:t>
      </w:r>
    </w:p>
    <w:p w14:paraId="161D33A9" w14:textId="77777777" w:rsidR="00D53B15" w:rsidRDefault="00D53B15" w:rsidP="00D53B15">
      <w:pPr>
        <w:pStyle w:val="ListParagraph"/>
        <w:numPr>
          <w:ilvl w:val="2"/>
          <w:numId w:val="2"/>
        </w:numPr>
      </w:pPr>
      <w:r>
        <w:t>Ecosystem Structure</w:t>
      </w:r>
    </w:p>
    <w:p w14:paraId="79539A3B" w14:textId="77777777" w:rsidR="00D53B15" w:rsidRDefault="00D53B15" w:rsidP="00D53B15">
      <w:pPr>
        <w:pStyle w:val="ListParagraph"/>
        <w:numPr>
          <w:ilvl w:val="2"/>
          <w:numId w:val="2"/>
        </w:numPr>
      </w:pPr>
      <w:r>
        <w:t>Interdependencies</w:t>
      </w:r>
    </w:p>
    <w:p w14:paraId="1750C059" w14:textId="77777777" w:rsidR="00D53B15" w:rsidRDefault="00D53B15" w:rsidP="00D53B15">
      <w:pPr>
        <w:pStyle w:val="ListParagraph"/>
        <w:numPr>
          <w:ilvl w:val="0"/>
          <w:numId w:val="2"/>
        </w:numPr>
      </w:pPr>
      <w:r>
        <w:t>Domain-Specific Best Practice</w:t>
      </w:r>
    </w:p>
    <w:p w14:paraId="0FEFD400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t>Scales of Observation and Aggregation</w:t>
      </w:r>
    </w:p>
    <w:p w14:paraId="7EA4CA47" w14:textId="77777777" w:rsidR="00D53B15" w:rsidRDefault="00D53B15" w:rsidP="00D53B15">
      <w:pPr>
        <w:pStyle w:val="ListParagraph"/>
        <w:numPr>
          <w:ilvl w:val="2"/>
          <w:numId w:val="2"/>
        </w:numPr>
      </w:pPr>
      <w:r>
        <w:t>Appropriate Scales of Observation in Support of EBVs</w:t>
      </w:r>
    </w:p>
    <w:p w14:paraId="12F11489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t xml:space="preserve">Protocols for Observation </w:t>
      </w:r>
    </w:p>
    <w:p w14:paraId="45AD804B" w14:textId="77777777" w:rsidR="00D53B15" w:rsidRDefault="00D53B15" w:rsidP="00D53B15">
      <w:pPr>
        <w:pStyle w:val="ListParagraph"/>
        <w:numPr>
          <w:ilvl w:val="2"/>
          <w:numId w:val="2"/>
        </w:numPr>
      </w:pPr>
      <w:r>
        <w:t xml:space="preserve">Methodology </w:t>
      </w:r>
    </w:p>
    <w:p w14:paraId="2C1FA3C0" w14:textId="77777777" w:rsidR="00D53B15" w:rsidRDefault="00D53B15" w:rsidP="00D53B15">
      <w:pPr>
        <w:pStyle w:val="ListParagraph"/>
        <w:numPr>
          <w:ilvl w:val="2"/>
          <w:numId w:val="2"/>
        </w:numPr>
      </w:pPr>
      <w:r>
        <w:t xml:space="preserve">Provenance </w:t>
      </w:r>
    </w:p>
    <w:p w14:paraId="54D9C2CF" w14:textId="77777777" w:rsidR="00D53B15" w:rsidRDefault="00D53B15" w:rsidP="00D53B15">
      <w:pPr>
        <w:pStyle w:val="ListParagraph"/>
        <w:numPr>
          <w:ilvl w:val="2"/>
          <w:numId w:val="2"/>
        </w:numPr>
      </w:pPr>
      <w:r>
        <w:t>Special Case: Citizen Science</w:t>
      </w:r>
    </w:p>
    <w:p w14:paraId="411352AB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t>Data, Services, and Supporting Standards</w:t>
      </w:r>
    </w:p>
    <w:p w14:paraId="1D57514D" w14:textId="77777777" w:rsidR="00D53B15" w:rsidRDefault="00D53B15" w:rsidP="00D53B15">
      <w:pPr>
        <w:pStyle w:val="ListParagraph"/>
        <w:numPr>
          <w:ilvl w:val="2"/>
          <w:numId w:val="2"/>
        </w:numPr>
      </w:pPr>
      <w:r>
        <w:t xml:space="preserve">Data Families </w:t>
      </w:r>
    </w:p>
    <w:p w14:paraId="39D6AF05" w14:textId="77777777" w:rsidR="00D53B15" w:rsidRDefault="00D53B15" w:rsidP="00D53B15">
      <w:pPr>
        <w:pStyle w:val="ListParagraph"/>
        <w:numPr>
          <w:ilvl w:val="2"/>
          <w:numId w:val="2"/>
        </w:numPr>
      </w:pPr>
      <w:r>
        <w:t>Applicable Services, Content, Catalogue, and Meta-Data Standards</w:t>
      </w:r>
    </w:p>
    <w:p w14:paraId="7C05278F" w14:textId="77777777" w:rsidR="00D53B15" w:rsidRDefault="00D53B15" w:rsidP="00D53B15">
      <w:pPr>
        <w:pStyle w:val="ListParagraph"/>
        <w:numPr>
          <w:ilvl w:val="2"/>
          <w:numId w:val="2"/>
        </w:numPr>
      </w:pPr>
      <w:r>
        <w:t>Overview of Compliant Software and Services</w:t>
      </w:r>
    </w:p>
    <w:p w14:paraId="6CCB837F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t>The Role of Vocabularies, Thesauri, and Ontologies</w:t>
      </w:r>
    </w:p>
    <w:p w14:paraId="5680845D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t>Distributed Processing, Workflow, and Automation</w:t>
      </w:r>
    </w:p>
    <w:p w14:paraId="1B62CCE9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t>Non-Standard Data Challenges</w:t>
      </w:r>
    </w:p>
    <w:p w14:paraId="385BDA6A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t xml:space="preserve">Data </w:t>
      </w:r>
      <w:proofErr w:type="spellStart"/>
      <w:r>
        <w:t>Curation</w:t>
      </w:r>
      <w:proofErr w:type="spellEnd"/>
      <w:r>
        <w:t xml:space="preserve"> and Preservation</w:t>
      </w:r>
    </w:p>
    <w:p w14:paraId="36D6F132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t>Quality Metrics and Annotation</w:t>
      </w:r>
    </w:p>
    <w:p w14:paraId="6EEFD916" w14:textId="77777777" w:rsidR="00D53B15" w:rsidRDefault="00D53B15" w:rsidP="00D53B15">
      <w:pPr>
        <w:pStyle w:val="ListParagraph"/>
        <w:numPr>
          <w:ilvl w:val="0"/>
          <w:numId w:val="2"/>
        </w:numPr>
      </w:pPr>
      <w:r>
        <w:t>Real Use Cases</w:t>
      </w:r>
    </w:p>
    <w:p w14:paraId="02681D9A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t>The GEO BON Interoperability Use Case</w:t>
      </w:r>
    </w:p>
    <w:p w14:paraId="6F44531E" w14:textId="77777777" w:rsidR="00D53B15" w:rsidRDefault="00D53B15" w:rsidP="00D53B15">
      <w:pPr>
        <w:pStyle w:val="ListParagraph"/>
        <w:numPr>
          <w:ilvl w:val="2"/>
          <w:numId w:val="2"/>
        </w:numPr>
      </w:pPr>
      <w:r>
        <w:t>Integrating GEOSS and GEO Common Infrastructure</w:t>
      </w:r>
    </w:p>
    <w:p w14:paraId="2B358C41" w14:textId="77777777" w:rsidR="00D53B15" w:rsidRDefault="00D53B15" w:rsidP="00D53B15">
      <w:pPr>
        <w:pStyle w:val="ListParagraph"/>
        <w:numPr>
          <w:ilvl w:val="1"/>
          <w:numId w:val="2"/>
        </w:numPr>
      </w:pPr>
      <w:r w:rsidRPr="00FC3EED">
        <w:t>The GBIF Workflow Use Case</w:t>
      </w:r>
    </w:p>
    <w:p w14:paraId="405268D0" w14:textId="77777777" w:rsidR="00D53B15" w:rsidRDefault="00D53B15" w:rsidP="00D53B15">
      <w:pPr>
        <w:pStyle w:val="ListParagraph"/>
        <w:numPr>
          <w:ilvl w:val="2"/>
          <w:numId w:val="2"/>
        </w:numPr>
      </w:pPr>
      <w:r w:rsidRPr="00FC3EED">
        <w:t>Intelligent normalization</w:t>
      </w:r>
    </w:p>
    <w:p w14:paraId="348BCD2E" w14:textId="77777777" w:rsidR="00D53B15" w:rsidRDefault="00D53B15" w:rsidP="00D53B15">
      <w:pPr>
        <w:pStyle w:val="ListParagraph"/>
        <w:numPr>
          <w:ilvl w:val="0"/>
          <w:numId w:val="2"/>
        </w:numPr>
      </w:pPr>
      <w:r>
        <w:t>Challenges, Research Questions, and Gaps</w:t>
      </w:r>
    </w:p>
    <w:p w14:paraId="724B1A7A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lastRenderedPageBreak/>
        <w:t>Development of Extended Standards</w:t>
      </w:r>
    </w:p>
    <w:p w14:paraId="4643A013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t>Long-Term Access and Funding Models</w:t>
      </w:r>
    </w:p>
    <w:p w14:paraId="2B60C628" w14:textId="77777777" w:rsidR="00D53B15" w:rsidRDefault="00D53B15" w:rsidP="00D53B15">
      <w:pPr>
        <w:pStyle w:val="ListParagraph"/>
        <w:numPr>
          <w:ilvl w:val="1"/>
          <w:numId w:val="2"/>
        </w:numPr>
      </w:pPr>
      <w:r>
        <w:t>Dealing with ‘Big Data’</w:t>
      </w:r>
    </w:p>
    <w:p w14:paraId="3A9EAA6C" w14:textId="77777777" w:rsidR="00D53B15" w:rsidRDefault="00D53B15" w:rsidP="00D53B15">
      <w:pPr>
        <w:jc w:val="both"/>
      </w:pPr>
    </w:p>
    <w:p w14:paraId="73FCCC6B" w14:textId="77777777" w:rsidR="00D53B15" w:rsidRDefault="00D53B15" w:rsidP="00D53B15">
      <w:pPr>
        <w:jc w:val="both"/>
      </w:pPr>
      <w:r>
        <w:t>It is envisaged that the chapter will be supplemented by a number of online resources, which may include the following:</w:t>
      </w:r>
    </w:p>
    <w:p w14:paraId="443B273F" w14:textId="77777777" w:rsidR="00D53B15" w:rsidRDefault="00D53B15" w:rsidP="00D53B15">
      <w:pPr>
        <w:jc w:val="both"/>
      </w:pPr>
    </w:p>
    <w:p w14:paraId="2C5D77D3" w14:textId="77777777" w:rsidR="00D53B15" w:rsidRDefault="00D53B15" w:rsidP="00D53B15">
      <w:pPr>
        <w:pStyle w:val="ListParagraph"/>
        <w:numPr>
          <w:ilvl w:val="0"/>
          <w:numId w:val="1"/>
        </w:numPr>
        <w:jc w:val="both"/>
      </w:pPr>
      <w:r>
        <w:t>A number of case studies, reinforcing best practice and illustrating the benefit derived from standards. Several initiatives have informally expressed an interest in contributing material for this (ASEAN, Latin America).</w:t>
      </w:r>
    </w:p>
    <w:p w14:paraId="18CAAEA0" w14:textId="77777777" w:rsidR="00D53B15" w:rsidRDefault="00D53B15" w:rsidP="00D53B15">
      <w:pPr>
        <w:pStyle w:val="ListParagraph"/>
        <w:numPr>
          <w:ilvl w:val="0"/>
          <w:numId w:val="1"/>
        </w:numPr>
        <w:jc w:val="both"/>
      </w:pPr>
      <w:r>
        <w:t>Detailed ‘How-To’ guides obtained from practitioners in respect of standards implementation.</w:t>
      </w:r>
    </w:p>
    <w:p w14:paraId="3299E2DA" w14:textId="77777777" w:rsidR="00D53B15" w:rsidRDefault="00D53B15" w:rsidP="00D53B15">
      <w:pPr>
        <w:jc w:val="both"/>
      </w:pPr>
    </w:p>
    <w:p w14:paraId="54A09DE9" w14:textId="77777777" w:rsidR="00D53B15" w:rsidRDefault="00D53B15" w:rsidP="00D53B15">
      <w:r>
        <w:t>Open Questions</w:t>
      </w:r>
      <w:r w:rsidR="002D6CE2">
        <w:t>/ Ideas</w:t>
      </w:r>
      <w:r>
        <w:t xml:space="preserve">: </w:t>
      </w:r>
    </w:p>
    <w:p w14:paraId="30D6CFE2" w14:textId="77777777" w:rsidR="00D53B15" w:rsidRDefault="00D53B15" w:rsidP="00D53B15"/>
    <w:p w14:paraId="3BF1DB95" w14:textId="77777777" w:rsidR="00D53B15" w:rsidRDefault="00D53B15" w:rsidP="00D53B15">
      <w:r>
        <w:t xml:space="preserve">GEOSS Common Infrastructure – </w:t>
      </w:r>
    </w:p>
    <w:p w14:paraId="4881ABBC" w14:textId="77777777" w:rsidR="00D53B15" w:rsidRDefault="00D53B15" w:rsidP="00D53B15">
      <w:pPr>
        <w:pStyle w:val="ListParagraph"/>
        <w:numPr>
          <w:ilvl w:val="0"/>
          <w:numId w:val="3"/>
        </w:numPr>
      </w:pPr>
      <w:r>
        <w:t>Mine the CGI Registry for inputs</w:t>
      </w:r>
      <w:r w:rsidR="002D6CE2">
        <w:t xml:space="preserve"> (best practice</w:t>
      </w:r>
      <w:proofErr w:type="gramStart"/>
      <w:r w:rsidR="002D6CE2">
        <w:t>, …)</w:t>
      </w:r>
      <w:proofErr w:type="gramEnd"/>
    </w:p>
    <w:p w14:paraId="31A62583" w14:textId="77777777" w:rsidR="00D53B15" w:rsidRDefault="00D53B15" w:rsidP="00D53B15">
      <w:pPr>
        <w:pStyle w:val="ListParagraph"/>
        <w:numPr>
          <w:ilvl w:val="0"/>
          <w:numId w:val="3"/>
        </w:numPr>
      </w:pPr>
      <w:r>
        <w:t>Fill the gaps in respect of component and service registration</w:t>
      </w:r>
    </w:p>
    <w:p w14:paraId="4DF9E0BD" w14:textId="77777777" w:rsidR="00D53B15" w:rsidRDefault="00D53B15" w:rsidP="00D53B15">
      <w:pPr>
        <w:pStyle w:val="ListParagraph"/>
        <w:numPr>
          <w:ilvl w:val="0"/>
          <w:numId w:val="3"/>
        </w:numPr>
      </w:pPr>
      <w:r>
        <w:t>GEO-BON Profile of CGI</w:t>
      </w:r>
    </w:p>
    <w:p w14:paraId="062F9DD0" w14:textId="77777777" w:rsidR="00D53B15" w:rsidRDefault="00D53B15" w:rsidP="00D53B15"/>
    <w:p w14:paraId="6BC5DE4C" w14:textId="77777777" w:rsidR="00D53B15" w:rsidRDefault="00D53B15" w:rsidP="00D53B15">
      <w:r>
        <w:t>Engagement with other workgroups – review drafts against our processes, matrices, etc. – ask Michele</w:t>
      </w:r>
    </w:p>
    <w:p w14:paraId="20EDEA1F" w14:textId="77777777" w:rsidR="00D53B15" w:rsidRDefault="00D53B15" w:rsidP="00D53B15"/>
    <w:p w14:paraId="623B58F0" w14:textId="77777777" w:rsidR="00D53B15" w:rsidRDefault="00D53B15" w:rsidP="00D53B15">
      <w:proofErr w:type="gramStart"/>
      <w:r>
        <w:t>Link in one of the earlier chapters – editor?</w:t>
      </w:r>
      <w:proofErr w:type="gramEnd"/>
      <w:r>
        <w:t xml:space="preserve"> Bob?</w:t>
      </w:r>
    </w:p>
    <w:p w14:paraId="19CFD970" w14:textId="77777777" w:rsidR="008D0E91" w:rsidRDefault="008D0E91"/>
    <w:sectPr w:rsidR="008D0E91" w:rsidSect="00E62B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970C5"/>
    <w:multiLevelType w:val="hybridMultilevel"/>
    <w:tmpl w:val="827676E8"/>
    <w:lvl w:ilvl="0" w:tplc="33BC3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242729"/>
    <w:multiLevelType w:val="hybridMultilevel"/>
    <w:tmpl w:val="9FC4D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30D09"/>
    <w:multiLevelType w:val="hybridMultilevel"/>
    <w:tmpl w:val="A3209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15"/>
    <w:rsid w:val="002D6CE2"/>
    <w:rsid w:val="003716E8"/>
    <w:rsid w:val="003A6780"/>
    <w:rsid w:val="006412C3"/>
    <w:rsid w:val="008D0E91"/>
    <w:rsid w:val="00D53B15"/>
    <w:rsid w:val="00E6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924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15"/>
  </w:style>
  <w:style w:type="paragraph" w:styleId="Heading1">
    <w:name w:val="heading 1"/>
    <w:basedOn w:val="Normal"/>
    <w:next w:val="Normal"/>
    <w:link w:val="Heading1Char"/>
    <w:uiPriority w:val="9"/>
    <w:qFormat/>
    <w:rsid w:val="00D53B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B1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D53B1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53B1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3B15"/>
    <w:rPr>
      <w:rFonts w:ascii="Lucida Grande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15"/>
  </w:style>
  <w:style w:type="paragraph" w:styleId="Heading1">
    <w:name w:val="heading 1"/>
    <w:basedOn w:val="Normal"/>
    <w:next w:val="Normal"/>
    <w:link w:val="Heading1Char"/>
    <w:uiPriority w:val="9"/>
    <w:qFormat/>
    <w:rsid w:val="00D53B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B1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D53B1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53B1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3B15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Macintosh Word</Application>
  <DocSecurity>0</DocSecurity>
  <Lines>16</Lines>
  <Paragraphs>4</Paragraphs>
  <ScaleCrop>false</ScaleCrop>
  <Company>SAEON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Hugo</dc:creator>
  <cp:keywords/>
  <dc:description/>
  <cp:lastModifiedBy>Wim Hugo</cp:lastModifiedBy>
  <cp:revision>2</cp:revision>
  <dcterms:created xsi:type="dcterms:W3CDTF">2013-05-20T09:18:00Z</dcterms:created>
  <dcterms:modified xsi:type="dcterms:W3CDTF">2013-05-20T09:18:00Z</dcterms:modified>
</cp:coreProperties>
</file>