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8E77E" w14:textId="77777777" w:rsidR="0045765F" w:rsidRPr="0045765F" w:rsidRDefault="0045765F" w:rsidP="0045765F">
      <w:pPr>
        <w:pStyle w:val="Title"/>
        <w:rPr>
          <w:sz w:val="32"/>
        </w:rPr>
      </w:pPr>
      <w:r w:rsidRPr="0045765F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1BBF03EC" wp14:editId="0A0627D7">
            <wp:simplePos x="0" y="0"/>
            <wp:positionH relativeFrom="column">
              <wp:posOffset>3200400</wp:posOffset>
            </wp:positionH>
            <wp:positionV relativeFrom="paragraph">
              <wp:posOffset>-606425</wp:posOffset>
            </wp:positionV>
            <wp:extent cx="2102485" cy="83502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E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5F">
        <w:rPr>
          <w:sz w:val="32"/>
        </w:rPr>
        <w:t>SAEOSS: Status Update – June 2013</w:t>
      </w:r>
    </w:p>
    <w:p w14:paraId="4185B78C" w14:textId="77777777" w:rsidR="0045765F" w:rsidRPr="0045765F" w:rsidRDefault="0045765F">
      <w:pPr>
        <w:rPr>
          <w:rStyle w:val="SubtleEmphasis"/>
        </w:rPr>
      </w:pPr>
      <w:r w:rsidRPr="0045765F">
        <w:rPr>
          <w:rStyle w:val="SubtleEmphasis"/>
        </w:rPr>
        <w:t>Wim Hugo/ SAEON</w:t>
      </w:r>
    </w:p>
    <w:p w14:paraId="41DF497B" w14:textId="77777777" w:rsidR="0045765F" w:rsidRPr="0045765F" w:rsidRDefault="0045765F">
      <w:pPr>
        <w:rPr>
          <w:rStyle w:val="SubtleEmphasis"/>
        </w:rPr>
      </w:pPr>
      <w:r w:rsidRPr="0045765F">
        <w:rPr>
          <w:rStyle w:val="SubtleEmphasis"/>
        </w:rPr>
        <w:t>18 June 2013</w:t>
      </w:r>
    </w:p>
    <w:p w14:paraId="2E12C26F" w14:textId="77777777" w:rsidR="0045765F" w:rsidRDefault="0045765F"/>
    <w:p w14:paraId="20B9F27E" w14:textId="77777777" w:rsidR="0045765F" w:rsidRDefault="0045765F" w:rsidP="0045765F">
      <w:pPr>
        <w:pStyle w:val="ListParagraph"/>
        <w:numPr>
          <w:ilvl w:val="0"/>
          <w:numId w:val="1"/>
        </w:numPr>
      </w:pPr>
      <w:r>
        <w:t>Recent milestones:</w:t>
      </w:r>
    </w:p>
    <w:p w14:paraId="1898A145" w14:textId="77777777" w:rsidR="0045765F" w:rsidRDefault="0045765F" w:rsidP="0045765F">
      <w:pPr>
        <w:pStyle w:val="ListParagraph"/>
        <w:numPr>
          <w:ilvl w:val="1"/>
          <w:numId w:val="1"/>
        </w:numPr>
      </w:pPr>
      <w:r>
        <w:t>Integration with GEOSS Broker completed and tested.</w:t>
      </w:r>
    </w:p>
    <w:p w14:paraId="326F9136" w14:textId="77777777" w:rsidR="0045765F" w:rsidRDefault="0045765F" w:rsidP="0045765F">
      <w:pPr>
        <w:pStyle w:val="ListParagraph"/>
        <w:numPr>
          <w:ilvl w:val="1"/>
          <w:numId w:val="1"/>
        </w:numPr>
      </w:pPr>
      <w:r>
        <w:t>Approximately 1000 South African data sets are now available to the GEOSS data core and will extend automatically in future as new data sets become available.</w:t>
      </w:r>
    </w:p>
    <w:p w14:paraId="7D22807B" w14:textId="77777777" w:rsidR="0045765F" w:rsidRDefault="0045765F" w:rsidP="0045765F">
      <w:pPr>
        <w:pStyle w:val="ListParagraph"/>
        <w:numPr>
          <w:ilvl w:val="1"/>
          <w:numId w:val="1"/>
        </w:numPr>
      </w:pPr>
      <w:r>
        <w:t>SARVA (Risk Atlas) ready for publication on-line.</w:t>
      </w:r>
    </w:p>
    <w:p w14:paraId="2FA7F3E8" w14:textId="77777777" w:rsidR="0045765F" w:rsidRDefault="0045765F" w:rsidP="0045765F">
      <w:pPr>
        <w:pStyle w:val="ListParagraph"/>
        <w:numPr>
          <w:ilvl w:val="0"/>
          <w:numId w:val="1"/>
        </w:numPr>
      </w:pPr>
      <w:r>
        <w:t xml:space="preserve">Access to Data: </w:t>
      </w:r>
    </w:p>
    <w:p w14:paraId="5944E39F" w14:textId="77777777" w:rsidR="0045765F" w:rsidRDefault="0045765F" w:rsidP="0045765F">
      <w:pPr>
        <w:pStyle w:val="ListParagraph"/>
        <w:numPr>
          <w:ilvl w:val="1"/>
          <w:numId w:val="1"/>
        </w:numPr>
      </w:pPr>
      <w:r>
        <w:t>This has been reported through NEOSS and SA-GEO recently. The detailed status report is attached for sake of completeness.</w:t>
      </w:r>
    </w:p>
    <w:p w14:paraId="42DD2A85" w14:textId="77777777" w:rsidR="0045765F" w:rsidRDefault="0045765F" w:rsidP="0045765F">
      <w:pPr>
        <w:pStyle w:val="ListParagraph"/>
        <w:numPr>
          <w:ilvl w:val="1"/>
          <w:numId w:val="1"/>
        </w:numPr>
      </w:pPr>
      <w:r>
        <w:t>Specific Remaining Challenges:</w:t>
      </w:r>
    </w:p>
    <w:p w14:paraId="39B50F67" w14:textId="77777777" w:rsidR="0045765F" w:rsidRDefault="0045765F" w:rsidP="0045765F">
      <w:pPr>
        <w:pStyle w:val="ListParagraph"/>
        <w:numPr>
          <w:ilvl w:val="2"/>
          <w:numId w:val="1"/>
        </w:numPr>
      </w:pPr>
      <w:r>
        <w:t xml:space="preserve">SANSA: The SANSA second-tier meta-data (in the order of millions of meta-data records) are slow to access on current infrastructure. SAEON is developing two options to deal with this: (1) funding from NRF to improve infrastructure (2) dedicated server at CHPC. </w:t>
      </w:r>
      <w:r w:rsidR="00C44F98">
        <w:t xml:space="preserve"> The latter may serve as an interim measure.</w:t>
      </w:r>
    </w:p>
    <w:p w14:paraId="721CA926" w14:textId="77777777" w:rsidR="0045765F" w:rsidRDefault="0045765F" w:rsidP="0045765F">
      <w:pPr>
        <w:pStyle w:val="ListParagraph"/>
        <w:numPr>
          <w:ilvl w:val="2"/>
          <w:numId w:val="1"/>
        </w:numPr>
      </w:pPr>
      <w:r>
        <w:t>WAMIS: Similar constraints, although the</w:t>
      </w:r>
      <w:r w:rsidR="00C44F98">
        <w:t xml:space="preserve"> metadata collection is smaller and the problem is less acute.</w:t>
      </w:r>
    </w:p>
    <w:p w14:paraId="509202A0" w14:textId="77777777" w:rsidR="0045765F" w:rsidRDefault="0045765F" w:rsidP="0045765F">
      <w:pPr>
        <w:pStyle w:val="ListParagraph"/>
        <w:numPr>
          <w:ilvl w:val="1"/>
          <w:numId w:val="1"/>
        </w:numPr>
      </w:pPr>
      <w:r>
        <w:t>Next steps:</w:t>
      </w:r>
    </w:p>
    <w:p w14:paraId="0C7B9CA7" w14:textId="77777777" w:rsidR="0045765F" w:rsidRDefault="0045765F" w:rsidP="0045765F">
      <w:pPr>
        <w:pStyle w:val="ListParagraph"/>
        <w:numPr>
          <w:ilvl w:val="2"/>
          <w:numId w:val="1"/>
        </w:numPr>
      </w:pPr>
      <w:r>
        <w:t>Work with SANSA to provide direct access to SANSA catalogue with predefined queries, and to automate harvesting of meta-data</w:t>
      </w:r>
      <w:r w:rsidR="00C44F98">
        <w:t>.</w:t>
      </w:r>
    </w:p>
    <w:p w14:paraId="7D35750D" w14:textId="77777777" w:rsidR="00C44F98" w:rsidRDefault="00C44F98" w:rsidP="0045765F">
      <w:pPr>
        <w:pStyle w:val="ListParagraph"/>
        <w:numPr>
          <w:ilvl w:val="2"/>
          <w:numId w:val="1"/>
        </w:numPr>
      </w:pPr>
      <w:r>
        <w:t>Implement faster meta-data search facility.</w:t>
      </w:r>
    </w:p>
    <w:p w14:paraId="06D87162" w14:textId="77777777" w:rsidR="00C44F98" w:rsidRDefault="00C44F98" w:rsidP="00C44F98">
      <w:pPr>
        <w:pStyle w:val="ListParagraph"/>
        <w:numPr>
          <w:ilvl w:val="0"/>
          <w:numId w:val="1"/>
        </w:numPr>
      </w:pPr>
      <w:r>
        <w:t>Development work and initiatives:</w:t>
      </w:r>
    </w:p>
    <w:p w14:paraId="3882613E" w14:textId="77777777" w:rsidR="00C44F98" w:rsidRDefault="00C44F98" w:rsidP="00C44F98">
      <w:pPr>
        <w:pStyle w:val="ListParagraph"/>
        <w:numPr>
          <w:ilvl w:val="1"/>
          <w:numId w:val="1"/>
        </w:numPr>
      </w:pPr>
      <w:r>
        <w:t xml:space="preserve">GEO BON Demonstrator as part of AIP-6: This has now been accepted </w:t>
      </w:r>
      <w:r w:rsidR="00276631">
        <w:t xml:space="preserve">by the IIB </w:t>
      </w:r>
      <w:r>
        <w:t>and work will commence in late June.</w:t>
      </w:r>
    </w:p>
    <w:p w14:paraId="7CD95A8A" w14:textId="77777777" w:rsidR="00C44F98" w:rsidRDefault="00C44F98" w:rsidP="00C44F98">
      <w:pPr>
        <w:pStyle w:val="ListParagraph"/>
        <w:numPr>
          <w:ilvl w:val="1"/>
          <w:numId w:val="1"/>
        </w:numPr>
      </w:pPr>
      <w:r>
        <w:t>“Working for Data”: in collaboration with NEOSS and SA-GEO</w:t>
      </w:r>
      <w:r w:rsidR="00276631">
        <w:t>.</w:t>
      </w:r>
    </w:p>
    <w:p w14:paraId="39736A3A" w14:textId="39189701" w:rsidR="00C44F98" w:rsidRDefault="00C44F98" w:rsidP="00C44F98">
      <w:pPr>
        <w:pStyle w:val="ListParagraph"/>
        <w:numPr>
          <w:ilvl w:val="1"/>
          <w:numId w:val="1"/>
        </w:numPr>
      </w:pPr>
      <w:r>
        <w:t xml:space="preserve">Development of Helper Applications for GEOSS Common Infrastructure: </w:t>
      </w:r>
      <w:r w:rsidR="00276631">
        <w:t xml:space="preserve">The shared platform, which includes SAEOSS, makes provision for a number of ‘helper applications’ and brokers aspects such as data download and visualization for </w:t>
      </w:r>
      <w:proofErr w:type="spellStart"/>
      <w:r w:rsidR="00276631">
        <w:t>Sensorweb</w:t>
      </w:r>
      <w:proofErr w:type="spellEnd"/>
      <w:r w:rsidR="00276631">
        <w:t xml:space="preserve">, OGC Web Services, KML, </w:t>
      </w:r>
      <w:proofErr w:type="spellStart"/>
      <w:r w:rsidR="00276631">
        <w:t>GeoRSS</w:t>
      </w:r>
      <w:proofErr w:type="spellEnd"/>
      <w:r w:rsidR="00276631">
        <w:t xml:space="preserve">, </w:t>
      </w:r>
      <w:proofErr w:type="spellStart"/>
      <w:r w:rsidR="00276631">
        <w:t>MetaCAT</w:t>
      </w:r>
      <w:proofErr w:type="spellEnd"/>
      <w:r w:rsidR="00276631">
        <w:t xml:space="preserve">, WAMIS Time Series, CSV files, and similar. The opportunity exists to align these with GEOSS Common Infrastructure ‘Helper Applications’ so that all GEOSS users can invoke the locally developed components. A proposal for funding will be submitted to DST as </w:t>
      </w:r>
      <w:proofErr w:type="gramStart"/>
      <w:r w:rsidR="00276631">
        <w:t>a collaboration</w:t>
      </w:r>
      <w:proofErr w:type="gramEnd"/>
      <w:r w:rsidR="00276631">
        <w:t xml:space="preserve"> between SAEON and </w:t>
      </w:r>
      <w:r w:rsidR="004A2BC4">
        <w:t xml:space="preserve">Steve </w:t>
      </w:r>
      <w:proofErr w:type="spellStart"/>
      <w:r w:rsidR="004A2BC4">
        <w:t>Browdy</w:t>
      </w:r>
      <w:proofErr w:type="spellEnd"/>
      <w:r w:rsidR="004A2BC4">
        <w:t xml:space="preserve">/ </w:t>
      </w:r>
      <w:proofErr w:type="spellStart"/>
      <w:r w:rsidR="00276631">
        <w:t>OMSTech</w:t>
      </w:r>
      <w:proofErr w:type="spellEnd"/>
      <w:r w:rsidR="00276631">
        <w:t xml:space="preserve"> (USA).</w:t>
      </w:r>
    </w:p>
    <w:p w14:paraId="257A47D3" w14:textId="4C9CB2B3" w:rsidR="0030243B" w:rsidRDefault="0030243B" w:rsidP="0030243B">
      <w:pPr>
        <w:pStyle w:val="ListParagraph"/>
        <w:numPr>
          <w:ilvl w:val="0"/>
          <w:numId w:val="1"/>
        </w:numPr>
      </w:pPr>
      <w:r>
        <w:t xml:space="preserve">Sustainable operation of SAEOSS: Funding will be required (our estimate approximately R 700,000 per year) to fund infrastructure, maintenance and support, incremental improvement, </w:t>
      </w:r>
      <w:r w:rsidR="00E34220">
        <w:t xml:space="preserve">contribution to GEOSS Infrastructure, </w:t>
      </w:r>
      <w:r>
        <w:t>and technical oversight.</w:t>
      </w:r>
    </w:p>
    <w:p w14:paraId="32806B9F" w14:textId="77777777" w:rsidR="00E34220" w:rsidRDefault="00E34220" w:rsidP="00E34220"/>
    <w:p w14:paraId="17B9CEB6" w14:textId="4E3BEB51" w:rsidR="00E34220" w:rsidRDefault="00E34220">
      <w:r>
        <w:br w:type="page"/>
      </w:r>
    </w:p>
    <w:p w14:paraId="6BBF5C0A" w14:textId="2B52F71F" w:rsidR="00E34220" w:rsidRDefault="00904997" w:rsidP="00D43DC6">
      <w:pPr>
        <w:pStyle w:val="Heading1"/>
      </w:pPr>
      <w:r>
        <w:lastRenderedPageBreak/>
        <w:t>Data Status as Submitted to NEOSS: June 2013</w:t>
      </w:r>
    </w:p>
    <w:p w14:paraId="6130E1CA" w14:textId="77777777" w:rsidR="00904997" w:rsidRDefault="00904997" w:rsidP="00E3422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73"/>
        <w:gridCol w:w="249"/>
        <w:gridCol w:w="1294"/>
      </w:tblGrid>
      <w:tr w:rsidR="00904997" w:rsidRPr="00904997" w14:paraId="1CEDD768" w14:textId="77777777" w:rsidTr="00904997">
        <w:trPr>
          <w:trHeight w:val="440"/>
        </w:trPr>
        <w:tc>
          <w:tcPr>
            <w:tcW w:w="4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04AA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Summary of Data Set Status Within SAEOSS/ GEOSS Channel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C8CB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082F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04997" w:rsidRPr="00904997" w14:paraId="7311C201" w14:textId="77777777" w:rsidTr="00904997">
        <w:trPr>
          <w:trHeight w:val="660"/>
        </w:trPr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D826D" w14:textId="11C8414D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No impediments: data is publicly available and </w:t>
            </w:r>
            <w:r w:rsidR="00D43DC6">
              <w:rPr>
                <w:rFonts w:ascii="Calibri" w:eastAsia="Times New Roman" w:hAnsi="Calibri" w:cs="Times New Roman"/>
                <w:color w:val="000000"/>
                <w:sz w:val="20"/>
              </w:rPr>
              <w:t>standardized (GEOSS Data Core)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0EC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B5B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912</w:t>
            </w:r>
          </w:p>
        </w:tc>
      </w:tr>
      <w:tr w:rsidR="00904997" w:rsidRPr="00904997" w14:paraId="2C43168C" w14:textId="77777777" w:rsidTr="00904997">
        <w:trPr>
          <w:trHeight w:val="660"/>
        </w:trPr>
        <w:tc>
          <w:tcPr>
            <w:tcW w:w="4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C994D" w14:textId="77777777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Data is available but consent must be obtained for public dissemination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90C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4C12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15,727</w:t>
            </w:r>
          </w:p>
        </w:tc>
      </w:tr>
      <w:tr w:rsidR="00904997" w:rsidRPr="00904997" w14:paraId="737F1311" w14:textId="77777777" w:rsidTr="00904997">
        <w:trPr>
          <w:trHeight w:val="660"/>
        </w:trPr>
        <w:tc>
          <w:tcPr>
            <w:tcW w:w="4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4C1B1" w14:textId="77777777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Data is available but is being </w:t>
            </w:r>
            <w:proofErr w:type="spellStart"/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standardised</w:t>
            </w:r>
            <w:proofErr w:type="spellEnd"/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/ processed prior to pu</w:t>
            </w:r>
            <w:bookmarkStart w:id="0" w:name="_GoBack"/>
            <w:bookmarkEnd w:id="0"/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blication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C0F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3D3C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2,498</w:t>
            </w:r>
          </w:p>
        </w:tc>
      </w:tr>
      <w:tr w:rsidR="00904997" w:rsidRPr="00904997" w14:paraId="0249F783" w14:textId="77777777" w:rsidTr="00904997">
        <w:trPr>
          <w:trHeight w:val="660"/>
        </w:trPr>
        <w:tc>
          <w:tcPr>
            <w:tcW w:w="4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5F25" w14:textId="77777777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Data is publicly available but not </w:t>
            </w:r>
            <w:proofErr w:type="spellStart"/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standardised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4E7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281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1,340</w:t>
            </w:r>
          </w:p>
        </w:tc>
      </w:tr>
      <w:tr w:rsidR="00904997" w:rsidRPr="00904997" w14:paraId="2A60AD7C" w14:textId="77777777" w:rsidTr="00904997">
        <w:trPr>
          <w:trHeight w:val="660"/>
        </w:trPr>
        <w:tc>
          <w:tcPr>
            <w:tcW w:w="4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91C5A" w14:textId="77777777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Data can be released once scientific publication is completed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98A3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44B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27</w:t>
            </w:r>
          </w:p>
        </w:tc>
      </w:tr>
      <w:tr w:rsidR="00904997" w:rsidRPr="00904997" w14:paraId="6FF0C177" w14:textId="77777777" w:rsidTr="00904997">
        <w:trPr>
          <w:trHeight w:val="660"/>
        </w:trPr>
        <w:tc>
          <w:tcPr>
            <w:tcW w:w="4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C3886" w14:textId="77777777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Data volume is too large for existing infrastructure, or systems development is required.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BA6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985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1,220</w:t>
            </w:r>
          </w:p>
        </w:tc>
      </w:tr>
      <w:tr w:rsidR="00904997" w:rsidRPr="00904997" w14:paraId="32009194" w14:textId="77777777" w:rsidTr="00904997">
        <w:trPr>
          <w:trHeight w:val="660"/>
        </w:trPr>
        <w:tc>
          <w:tcPr>
            <w:tcW w:w="4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ADD62" w14:textId="77777777" w:rsidR="00904997" w:rsidRPr="00904997" w:rsidRDefault="00904997" w:rsidP="00904997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Meta-data references are available, but the preferred dissemination channel is elsewhere (GBIF, for example)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A27D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5D7F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1,450</w:t>
            </w:r>
          </w:p>
        </w:tc>
      </w:tr>
      <w:tr w:rsidR="00904997" w:rsidRPr="00904997" w14:paraId="5925FC4E" w14:textId="77777777" w:rsidTr="00904997">
        <w:trPr>
          <w:trHeight w:val="440"/>
        </w:trPr>
        <w:tc>
          <w:tcPr>
            <w:tcW w:w="4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542B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DE99" w14:textId="77777777" w:rsidR="00904997" w:rsidRPr="00904997" w:rsidRDefault="00904997" w:rsidP="00904997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97E" w14:textId="77777777" w:rsidR="00904997" w:rsidRPr="00904997" w:rsidRDefault="00904997" w:rsidP="00904997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4997">
              <w:rPr>
                <w:rFonts w:ascii="Calibri" w:eastAsia="Times New Roman" w:hAnsi="Calibri" w:cs="Times New Roman"/>
                <w:color w:val="000000"/>
                <w:sz w:val="20"/>
              </w:rPr>
              <w:t>23,174</w:t>
            </w:r>
          </w:p>
        </w:tc>
      </w:tr>
    </w:tbl>
    <w:p w14:paraId="28DF39F4" w14:textId="77777777" w:rsidR="00904997" w:rsidRDefault="00904997" w:rsidP="00E34220"/>
    <w:p w14:paraId="6F129C21" w14:textId="77777777" w:rsidR="00D43DC6" w:rsidRDefault="00D43DC6" w:rsidP="00E34220"/>
    <w:p w14:paraId="0FB3607C" w14:textId="77777777" w:rsidR="00D43DC6" w:rsidRPr="00D43DC6" w:rsidRDefault="00D43DC6" w:rsidP="00D43DC6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D43DC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Published Data - Automated, </w:t>
      </w:r>
      <w:proofErr w:type="spellStart"/>
      <w:r w:rsidRPr="00D43DC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Standardised</w:t>
      </w:r>
      <w:proofErr w:type="spellEnd"/>
      <w:r w:rsidRPr="00D43DC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and Available to GEOSS Data Core</w:t>
      </w:r>
    </w:p>
    <w:p w14:paraId="37FC9713" w14:textId="77777777" w:rsidR="00D43DC6" w:rsidRDefault="00D43DC6" w:rsidP="00E34220"/>
    <w:p w14:paraId="6F892CB7" w14:textId="75B182BA" w:rsidR="00D43DC6" w:rsidRDefault="00D43DC6" w:rsidP="00E34220">
      <w:r>
        <w:rPr>
          <w:noProof/>
        </w:rPr>
        <w:drawing>
          <wp:inline distT="0" distB="0" distL="0" distR="0" wp14:anchorId="35F10CA9" wp14:editId="05B75078">
            <wp:extent cx="5270500" cy="2870104"/>
            <wp:effectExtent l="50800" t="0" r="12700" b="260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8C7925" w14:textId="77777777" w:rsidR="00D43DC6" w:rsidRDefault="00D43DC6" w:rsidP="00E34220"/>
    <w:p w14:paraId="25103378" w14:textId="77777777" w:rsidR="00D43DC6" w:rsidRDefault="00D43DC6" w:rsidP="00E34220"/>
    <w:p w14:paraId="799350D1" w14:textId="77777777" w:rsidR="00D43DC6" w:rsidRDefault="00D43DC6" w:rsidP="00E34220"/>
    <w:p w14:paraId="2390540B" w14:textId="77777777" w:rsidR="00D43DC6" w:rsidRDefault="00D43DC6" w:rsidP="00E34220"/>
    <w:p w14:paraId="72F4F60C" w14:textId="77777777" w:rsidR="00D43DC6" w:rsidRDefault="00D43DC6" w:rsidP="00E34220"/>
    <w:p w14:paraId="4237E8C6" w14:textId="77777777" w:rsidR="00D43DC6" w:rsidRPr="00D43DC6" w:rsidRDefault="00D43DC6" w:rsidP="00D43DC6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D43DC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Published Data - Available to GEOSS Broker</w:t>
      </w:r>
    </w:p>
    <w:p w14:paraId="3A901236" w14:textId="77777777" w:rsidR="00D43DC6" w:rsidRDefault="00D43DC6" w:rsidP="00E34220"/>
    <w:p w14:paraId="1D3B57FD" w14:textId="5D22E612" w:rsidR="00D43DC6" w:rsidRDefault="00D43DC6" w:rsidP="00E34220">
      <w:r>
        <w:rPr>
          <w:noProof/>
        </w:rPr>
        <w:drawing>
          <wp:inline distT="0" distB="0" distL="0" distR="0" wp14:anchorId="1EE13355" wp14:editId="7F13A4A6">
            <wp:extent cx="5270500" cy="5699338"/>
            <wp:effectExtent l="0" t="0" r="12700" b="158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E9C18D" w14:textId="77777777" w:rsidR="00D43DC6" w:rsidRDefault="00D43DC6" w:rsidP="00E34220"/>
    <w:p w14:paraId="23B34552" w14:textId="0501D6D7" w:rsidR="00D43DC6" w:rsidRDefault="00D43DC6" w:rsidP="00E34220">
      <w:r>
        <w:t>GEOSS#: Local company specializing in Groundwater Resources</w:t>
      </w:r>
    </w:p>
    <w:sectPr w:rsidR="00D43DC6" w:rsidSect="00E62B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51C5"/>
    <w:multiLevelType w:val="hybridMultilevel"/>
    <w:tmpl w:val="A078B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5F"/>
    <w:rsid w:val="00276631"/>
    <w:rsid w:val="0030243B"/>
    <w:rsid w:val="0045765F"/>
    <w:rsid w:val="004A2BC4"/>
    <w:rsid w:val="006B5F22"/>
    <w:rsid w:val="00904997"/>
    <w:rsid w:val="00C44F98"/>
    <w:rsid w:val="00D43DC6"/>
    <w:rsid w:val="00E34220"/>
    <w:rsid w:val="00E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3E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76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5F"/>
    <w:rPr>
      <w:rFonts w:ascii="Lucida Grande" w:hAnsi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45765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D43D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76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5F"/>
    <w:rPr>
      <w:rFonts w:ascii="Lucida Grande" w:hAnsi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45765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D43D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IM:Users:wim:Work:Project%20Files:G336%20SAEOS:G336.1%20Management:G336.1.0%20Contract%20Administration:G336.1.1%20Inventory%20June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IM:Users:wim:Work:Project%20Files:G336%20SAEOS:G336.1%20Management:G336.1.0%20Contract%20Administration:G336.1.1%20Inventory%20June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GEOSS Data Core</c:v>
          </c:tx>
          <c:cat>
            <c:strRef>
              <c:f>Status!$D$3:$D$11</c:f>
              <c:strCache>
                <c:ptCount val="9"/>
                <c:pt idx="0">
                  <c:v>UCT</c:v>
                </c:pt>
                <c:pt idx="1">
                  <c:v>UKZN</c:v>
                </c:pt>
                <c:pt idx="2">
                  <c:v>Dept. Water Affairs</c:v>
                </c:pt>
                <c:pt idx="3">
                  <c:v>Council for GeoScience</c:v>
                </c:pt>
                <c:pt idx="4">
                  <c:v>Various</c:v>
                </c:pt>
                <c:pt idx="5">
                  <c:v>GEOSS#</c:v>
                </c:pt>
                <c:pt idx="6">
                  <c:v>CSIR-BE</c:v>
                </c:pt>
                <c:pt idx="7">
                  <c:v>Birdlife Africa</c:v>
                </c:pt>
                <c:pt idx="8">
                  <c:v>Municipal Demarcation Board</c:v>
                </c:pt>
              </c:strCache>
            </c:strRef>
          </c:cat>
          <c:val>
            <c:numRef>
              <c:f>Status!$J$3:$J$11</c:f>
              <c:numCache>
                <c:formatCode>#,##0</c:formatCode>
                <c:ptCount val="9"/>
                <c:pt idx="0">
                  <c:v>430.0</c:v>
                </c:pt>
                <c:pt idx="1">
                  <c:v>414.0</c:v>
                </c:pt>
                <c:pt idx="2">
                  <c:v>27.0</c:v>
                </c:pt>
                <c:pt idx="3">
                  <c:v>14.0</c:v>
                </c:pt>
                <c:pt idx="4">
                  <c:v>13.0</c:v>
                </c:pt>
                <c:pt idx="5">
                  <c:v>8.0</c:v>
                </c:pt>
                <c:pt idx="6">
                  <c:v>4.0</c:v>
                </c:pt>
                <c:pt idx="7">
                  <c:v>1.0</c:v>
                </c:pt>
                <c:pt idx="8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GEOSS Broker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"GEOSS Broker"</c:v>
          </c:tx>
          <c:cat>
            <c:strRef>
              <c:f>Status!$D$3:$D$19</c:f>
              <c:strCache>
                <c:ptCount val="17"/>
                <c:pt idx="0">
                  <c:v>UCT</c:v>
                </c:pt>
                <c:pt idx="1">
                  <c:v>UKZN</c:v>
                </c:pt>
                <c:pt idx="2">
                  <c:v>Dept. Water Affairs</c:v>
                </c:pt>
                <c:pt idx="3">
                  <c:v>Council for GeoScience</c:v>
                </c:pt>
                <c:pt idx="4">
                  <c:v>Various</c:v>
                </c:pt>
                <c:pt idx="5">
                  <c:v>GEOSS#</c:v>
                </c:pt>
                <c:pt idx="6">
                  <c:v>CSIR-BE</c:v>
                </c:pt>
                <c:pt idx="7">
                  <c:v>Birdlife Africa</c:v>
                </c:pt>
                <c:pt idx="8">
                  <c:v>Municipal Demarcation Board</c:v>
                </c:pt>
                <c:pt idx="9">
                  <c:v>CSIR-Meraka</c:v>
                </c:pt>
                <c:pt idx="10">
                  <c:v>SAEON and Partners</c:v>
                </c:pt>
                <c:pt idx="11">
                  <c:v>SANSA</c:v>
                </c:pt>
                <c:pt idx="12">
                  <c:v>SANBI</c:v>
                </c:pt>
                <c:pt idx="13">
                  <c:v>Various</c:v>
                </c:pt>
                <c:pt idx="14">
                  <c:v>External</c:v>
                </c:pt>
                <c:pt idx="15">
                  <c:v>CSIR-Meraka</c:v>
                </c:pt>
                <c:pt idx="16">
                  <c:v>CSIR-Meraka</c:v>
                </c:pt>
              </c:strCache>
            </c:strRef>
          </c:cat>
          <c:val>
            <c:numRef>
              <c:f>Status!$I$3:$I$19</c:f>
              <c:numCache>
                <c:formatCode>#,##0</c:formatCode>
                <c:ptCount val="17"/>
                <c:pt idx="0">
                  <c:v>430.0</c:v>
                </c:pt>
                <c:pt idx="1">
                  <c:v>414.0</c:v>
                </c:pt>
                <c:pt idx="2">
                  <c:v>27.0</c:v>
                </c:pt>
                <c:pt idx="3">
                  <c:v>14.0</c:v>
                </c:pt>
                <c:pt idx="4">
                  <c:v>13.0</c:v>
                </c:pt>
                <c:pt idx="5">
                  <c:v>8.0</c:v>
                </c:pt>
                <c:pt idx="6">
                  <c:v>4.0</c:v>
                </c:pt>
                <c:pt idx="7">
                  <c:v>1.0</c:v>
                </c:pt>
                <c:pt idx="8">
                  <c:v>1.0</c:v>
                </c:pt>
                <c:pt idx="9">
                  <c:v>732.0</c:v>
                </c:pt>
                <c:pt idx="10">
                  <c:v>265.0</c:v>
                </c:pt>
                <c:pt idx="11">
                  <c:v>122.0</c:v>
                </c:pt>
                <c:pt idx="12">
                  <c:v>116.0</c:v>
                </c:pt>
                <c:pt idx="13">
                  <c:v>45.0</c:v>
                </c:pt>
                <c:pt idx="14">
                  <c:v>20.0</c:v>
                </c:pt>
                <c:pt idx="15">
                  <c:v>3.0</c:v>
                </c:pt>
                <c:pt idx="16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456</Words>
  <Characters>2605</Characters>
  <Application>Microsoft Macintosh Word</Application>
  <DocSecurity>0</DocSecurity>
  <Lines>21</Lines>
  <Paragraphs>6</Paragraphs>
  <ScaleCrop>false</ScaleCrop>
  <Company>SAEON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Hugo</dc:creator>
  <cp:keywords/>
  <dc:description/>
  <cp:lastModifiedBy>Wim Hugo</cp:lastModifiedBy>
  <cp:revision>6</cp:revision>
  <dcterms:created xsi:type="dcterms:W3CDTF">2013-06-18T05:24:00Z</dcterms:created>
  <dcterms:modified xsi:type="dcterms:W3CDTF">2013-06-18T05:50:00Z</dcterms:modified>
</cp:coreProperties>
</file>